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1F" w:rsidRPr="0056601F" w:rsidRDefault="0056601F" w:rsidP="0056601F">
      <w:pPr>
        <w:pStyle w:val="a5"/>
        <w:jc w:val="right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УТВЕРЖДЕНА</w:t>
      </w:r>
    </w:p>
    <w:p w:rsidR="0056601F" w:rsidRPr="0056601F" w:rsidRDefault="0056601F" w:rsidP="0056601F">
      <w:pPr>
        <w:pStyle w:val="a5"/>
        <w:jc w:val="right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распоряжением Правительства</w:t>
      </w:r>
    </w:p>
    <w:p w:rsidR="0056601F" w:rsidRPr="0056601F" w:rsidRDefault="0056601F" w:rsidP="0056601F">
      <w:pPr>
        <w:pStyle w:val="a5"/>
        <w:jc w:val="right"/>
        <w:rPr>
          <w:rFonts w:ascii="Arial" w:hAnsi="Arial" w:cs="Arial"/>
          <w:sz w:val="21"/>
          <w:szCs w:val="21"/>
          <w:lang w:eastAsia="ru-RU"/>
        </w:rPr>
      </w:pPr>
      <w:bookmarkStart w:id="0" w:name="_GoBack"/>
      <w:bookmarkEnd w:id="0"/>
      <w:r w:rsidRPr="0056601F">
        <w:rPr>
          <w:rFonts w:ascii="Arial" w:hAnsi="Arial" w:cs="Arial"/>
          <w:sz w:val="21"/>
          <w:szCs w:val="21"/>
          <w:lang w:eastAsia="ru-RU"/>
        </w:rPr>
        <w:t>Российской Федерации</w:t>
      </w:r>
    </w:p>
    <w:p w:rsidR="0056601F" w:rsidRPr="0056601F" w:rsidRDefault="0056601F" w:rsidP="0056601F">
      <w:pPr>
        <w:pStyle w:val="a5"/>
        <w:jc w:val="right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от 4 сентября 2014 г. № 1726-р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 </w:t>
      </w:r>
    </w:p>
    <w:p w:rsidR="0056601F" w:rsidRPr="0056601F" w:rsidRDefault="0056601F" w:rsidP="0056601F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56601F">
        <w:rPr>
          <w:rFonts w:ascii="Arial" w:hAnsi="Arial" w:cs="Arial"/>
          <w:b/>
          <w:sz w:val="30"/>
          <w:szCs w:val="30"/>
          <w:lang w:eastAsia="ru-RU"/>
        </w:rPr>
        <w:t xml:space="preserve">К О Н </w:t>
      </w:r>
      <w:proofErr w:type="gramStart"/>
      <w:r w:rsidRPr="0056601F">
        <w:rPr>
          <w:rFonts w:ascii="Arial" w:hAnsi="Arial" w:cs="Arial"/>
          <w:b/>
          <w:sz w:val="30"/>
          <w:szCs w:val="30"/>
          <w:lang w:eastAsia="ru-RU"/>
        </w:rPr>
        <w:t>Ц</w:t>
      </w:r>
      <w:proofErr w:type="gramEnd"/>
      <w:r w:rsidRPr="0056601F">
        <w:rPr>
          <w:rFonts w:ascii="Arial" w:hAnsi="Arial" w:cs="Arial"/>
          <w:b/>
          <w:sz w:val="30"/>
          <w:szCs w:val="30"/>
          <w:lang w:eastAsia="ru-RU"/>
        </w:rPr>
        <w:t xml:space="preserve"> Е П Ц И Я</w:t>
      </w:r>
    </w:p>
    <w:p w:rsidR="0056601F" w:rsidRPr="0056601F" w:rsidRDefault="0056601F" w:rsidP="0056601F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56601F">
        <w:rPr>
          <w:rFonts w:ascii="Arial" w:hAnsi="Arial" w:cs="Arial"/>
          <w:b/>
          <w:sz w:val="30"/>
          <w:szCs w:val="30"/>
          <w:lang w:eastAsia="ru-RU"/>
        </w:rPr>
        <w:t>развития дополнительного образования детей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 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I. Общие положения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 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 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 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Конкурентные преимущества 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свободный личностный выбор деятельности, определяющей индивидуальное развитие человека;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 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вариативность содержания и форм организации образовательного процесса;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 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доступность глобального знания и информации для каждого;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 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адаптивность к возникающим изменениям.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 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Ключевая социокультурная роль дополнительного образования состоит в том, что мотивация внутренней активности саморазвития детской и подростковой 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субкультурыстановится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 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самоактуализацию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> 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 Президента Российской Федерации.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 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Отказ государства от решения этой задачи может привести к рискам стихийного формирования идентичности в периферийных (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субкультурных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>) пространствах социализации.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lastRenderedPageBreak/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право на пробы и ошибки, возможность смены образовательных программ, педагогов и организаций;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неформализованность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содержания образования, организации образовательного процесса, уклада организаций дополнительного образования;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вариативный характер оценки образовательных результатов; тесная связь с практикой, ориентация на создание конкретного персонального продукта и его публичную презентацию;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возможность на практике применить полученные знания и навыки; разновозрастный характер объединений; возможность выбрать себе педагога, наставника, тренера. 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благоприятные условия для генерирования и 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реализации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общественных как детских (подростковых), так и взрослых инициатив и проектов, в том числе развития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волонтерства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и социального предпринимательства.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Дополнительное образование детей 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proofErr w:type="gramEnd"/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 настоящее время в условиях информационной социализации дополнительное образование детей может стать инструментом формирования ценностей, 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 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II. Состояние и проблемы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дополнительного образования детей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На современном этапе содержание дополнительных образовательных программ ориентировано 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на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>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обеспечение духовно-нравственного, гражданского, патриотического, трудового воспитания учащихся;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</w:t>
      </w:r>
      <w:r w:rsidRPr="0056601F">
        <w:rPr>
          <w:rFonts w:ascii="Arial" w:hAnsi="Arial" w:cs="Arial"/>
          <w:sz w:val="21"/>
          <w:szCs w:val="21"/>
          <w:lang w:eastAsia="ru-RU"/>
        </w:rPr>
        <w:lastRenderedPageBreak/>
        <w:t xml:space="preserve">ресурсов информационно-телекоммуникационной сети "Интернет" (далее - сеть "Интернет"), в том числе массовых открытых онлайн-курсов,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видеоуроков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>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эксплораториумы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, детские компьютерно-мультипликационные студии, студии робототехники, 3-d моделирования и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прототипирования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Развивается рынок услуг и сервисов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информального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образования (образовательные онлайн-ресурсы, виртуальные читальные залы, мобильные приложения и др.).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ХХ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I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веке.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Федеральный закон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обновляемость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интернет-связью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>, особенно для реализации высокотехнологичных программ.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 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III. Цели и задачи развития дополнительного образования детей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Целями Концепции являются: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обеспечение прав ребенка на развитие, личностное самоопределение и самореализацию;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развитие инновационного потенциала общества. Для достижения целей Концепции необходимо решить следующие задачи: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lastRenderedPageBreak/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интересов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в общем и дополнительном образовании, диагностика мотивации достижений личности;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повышение вариативности, качества и доступности дополнительного образования для каждого;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обеспечение условий для доступа каждого к глобальным знаниям и технологиям;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формирование эффективной межведомственной системы управления развитием дополнительного образования детей;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 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IV. Принципы государственной политики развития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дополнительного образования детей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неформализованность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>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принцип социальной гарантии государства на качественное и безопасное дополнительное образование детей;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принцип реализации права на развитие личностного и профессионального самоопределения детей и подростков в различных видах конструктивной и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личностнообразующей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деятельности;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принцип расширения социальной и академической мобильности детей и подростков через дополнительное образование;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о-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педагогическому проектированию образовательных сред, стимулированию детей к познанию, творчеству и конструктивной деятельности;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  <w:proofErr w:type="gramEnd"/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принцип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программоориентированности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>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lastRenderedPageBreak/>
        <w:t>свобода выбора образовательных программ и режима их освоения; соответствие образовательных программ и форм дополнительного образования возрастным и индивидуальным особенностям детей;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вариативность, гибкость и мобильность образовательных программ;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разноуровневость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(ступенчатость) образовательных программ; модульность содержания образовательных программ, возможность взаимозачета результатов;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ориентация на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метапредметные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и личностные результаты образования;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творческий и продуктивный характер образовательных программ;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открытый и сетевой характер реализации.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 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V. Основные механизмы развития дополнительного образования детей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Основными механизмами развития дополнительного образования детей являются: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создание интегрированных (или комплексных) организаций социальной сферы;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партнерство государства, бизнеса, институтов гражданского общества, семьи;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создание конкурентной среды, стимулирующей обновление содержания и повышение качества услуг;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 федеральных государственных образовательных стандартов 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субкультурных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сообществ.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 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VI. Основные направления реализации Концепции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Обеспечение доступности дополнительных общеобразовательных программ предполагает: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формирование системы государственных требований к доступности услуг дополнительного образования детей;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формирование на федеральном уровне 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механизмов ресурсной поддержки региональных программ дополнительного образования детей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>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создание открытых сервисов информационного сопровождения (навигации) участников дополнительных общеобразовательных программ, 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обеспечивающих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в том числе поддержку выбора программ, формирование индивидуальных образовательных траекторий;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lastRenderedPageBreak/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Расширение спектра дополнительных общеобразовательных программ предполагает: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разработку и реализацию модели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разноуровневых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дополнительных предпрофессиональных программ;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разработку и внедрение адаптированных дополнительных общеобразовательных программ, способствующих социальн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о-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внедрение 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инструментов стимулирования расширения спектра программ дополнительного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образования, выявления и распространения лучших практик (гранты, конкурсы,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стажировочные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площадки);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Развитие системы управления качеством реализации дополнительных общеобразовательных программ предполагает: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формирование межведомственной модели 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управления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сферой дополнительного образования детей, включая устранение ведомственных барьеров финансирования организаций;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внедрение и совершенствование современных федеральных государственных требований к дополнительным предпрофессиональным программам;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поддержку существующей системы и развитие новых перспективных направлений олимпиад, конкурсов и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разноуровневых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соревнований для детей в системе дополнительного образования;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Развитие кадрового потенциала системы дополнительного образования детей предполагает: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апробацию и внедрение профессионального стандарта педагога дополнительного образования;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внедрение 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системы оценки достижений педагогов дополнительного образования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как инструмента оценки качества профессиональной деятельности и средства самооценки личности педагога;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поддержку включения в систему дополнительного образования детей 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lastRenderedPageBreak/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введение профилей дополнительного образования в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двупрофильные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программы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бакалавариата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>, создание программ магистратуры, ориентированных на подготовку педагогов для системы дополнительного образования детей;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формирование современной 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системы сопровождения непрерывного профессионального развития педагогических кадров сферы дополнительного образования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детей (реализация сетевых форм и модульных программ повышения квалификации с возможностью обучения по индивидуальной образовательной программе, 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тьюторскоесопровождение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Совершенствование финансово-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экономических механизмов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развития дополнительного образования предполагает: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развитие механизмов финансового обеспечения дополнительных общеобразовательных программ на основе нормативно-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подушевого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  <w:proofErr w:type="gramEnd"/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гражданами потребительского кредита на 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обучение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по дополнительным общеобразовательным программам;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софинансирования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государства и потребителя);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Расширение участия негосударственного сектора в оказании услуг дополнительного образования, внедрение механизмов государственн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о-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частного партнерства предполагает: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формирование механизмов стимулирования благотворительности физических и юридических лиц;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содействие развитию корпоративной социальной ответственности в сфере дополнительного образования детей.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lastRenderedPageBreak/>
        <w:t>Модернизация инфраструктуры дополнительного образования детей предусматривает: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 социальной инфраструктуры;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ориентацию 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ств дл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>я различных форм активности, клубной деятельности;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  центров</w:t>
      </w:r>
      <w:proofErr w:type="gramEnd"/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дополнительного образования) в перечень приоритетных инвестиционных проектов индустрии детских товаров, утверждаемый Правительством Российской Федерации;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создание условий для использования в системе дополнительного образования цифровых инновационных технологий, в том числе 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учебно- научно-производственных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мастерских по цифровому дизайну и трехмерному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прототипированию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>, мультипликационных и видео-студий;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 мобильного обучения, направленных на личностное и профессиональное самоопределение детей и подростков;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придание статуса учебных пособий учебно-методическим материалам в сфере дополнительного образования детей, способствующим реализации федеральных государственных образовательных стандартов 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Развитие неформального и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информального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образования предполагает: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расширение 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возможностей использования потенциала организаций культуры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поддержку общественных (охватывающих значительные по масштабу целевые аудитории групп детей и подростков)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медийных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развитие программ отрытого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поддержку развития сектора программ "учения с увлечением" (таких как 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эксплораториумы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>, "города профессий", парки научных развлечений, творческие мастерские, тематические парки);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нормативную, методическую и ресурсную поддержку развития детского образовательного туризма;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 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VII. Этапы реализации Концепции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Реализация Концепции будет осуществляться в 2 этапа: I этап - 2014 - 2017 годы и II этап - 2018 - 2020 годы.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Будут внесены обеспечивающие реализацию Концепции изменения в государственную программу Российской Федерации "Развитие образования" на 2013 - 2020 годы, утвержденную постановлением Правительства Российской Федерации от 15 апреля 2014 г. №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lastRenderedPageBreak/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По приоритетным направлениям Концепции будут разработаны и реализованы в субъектах Российской Федерации пилотные проекты.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В субъектах Российской Федерации на основе Концепции будут разработаны региональные программы развития 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дополнительного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образования детей, начнется их реализация.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пилотных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Начиная с I этапа 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Минобрнауки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России совместно с Минкультуры России, 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Минспортом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 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VIII. Ожидаемые результаты реализации Концепции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Реализация Концепции обеспечит к 2020 году следующие результаты: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дополнительными общеобразовательными программами охвачено не менее 75 процентов детей в возрасте от 5 до 18 лет;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информального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образования в целях саморазвития, профессионального самоопределения и продуктивного досуга;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сформированы механизмы финансовой поддержки прав детей на участие в дополнительном образовании;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сформированы эффективные механизмы государственн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о-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 xml:space="preserve"> общественного межведомственного управления дополнительным образованием детей;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обеспечено высокое качество и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обновляемость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В результате реализации Концепции будут обеспечены: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игромании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>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 xml:space="preserve">укрепление социальной стабильности общества за счет сформированных в системе дополнительного образования ценностей и компетенций, механизмов </w:t>
      </w:r>
      <w:proofErr w:type="spellStart"/>
      <w:r w:rsidRPr="0056601F">
        <w:rPr>
          <w:rFonts w:ascii="Arial" w:hAnsi="Arial" w:cs="Arial"/>
          <w:sz w:val="21"/>
          <w:szCs w:val="21"/>
          <w:lang w:eastAsia="ru-RU"/>
        </w:rPr>
        <w:t>межпоколенческой</w:t>
      </w:r>
      <w:proofErr w:type="spellEnd"/>
      <w:r w:rsidRPr="0056601F">
        <w:rPr>
          <w:rFonts w:ascii="Arial" w:hAnsi="Arial" w:cs="Arial"/>
          <w:sz w:val="21"/>
          <w:szCs w:val="21"/>
          <w:lang w:eastAsia="ru-RU"/>
        </w:rPr>
        <w:t xml:space="preserve"> и межкультурной коммуникации;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формирование у молодого поколения гражданской позиции, патриотизма;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t>МИНОБРНАУКИ</w:t>
      </w:r>
      <w:proofErr w:type="gramStart"/>
      <w:r w:rsidRPr="0056601F">
        <w:rPr>
          <w:rFonts w:ascii="Arial" w:hAnsi="Arial" w:cs="Arial"/>
          <w:sz w:val="21"/>
          <w:szCs w:val="21"/>
          <w:lang w:eastAsia="ru-RU"/>
        </w:rPr>
        <w:t>.Р</w:t>
      </w:r>
      <w:proofErr w:type="gramEnd"/>
      <w:r w:rsidRPr="0056601F">
        <w:rPr>
          <w:rFonts w:ascii="Arial" w:hAnsi="Arial" w:cs="Arial"/>
          <w:sz w:val="21"/>
          <w:szCs w:val="21"/>
          <w:lang w:eastAsia="ru-RU"/>
        </w:rPr>
        <w:t>Ф: </w:t>
      </w:r>
      <w:hyperlink r:id="rId6" w:history="1">
        <w:r w:rsidRPr="0056601F">
          <w:rPr>
            <w:rFonts w:ascii="Arial" w:hAnsi="Arial" w:cs="Arial"/>
            <w:color w:val="4488BB"/>
            <w:sz w:val="21"/>
            <w:szCs w:val="21"/>
            <w:lang w:eastAsia="ru-RU"/>
          </w:rPr>
          <w:t>http://goo.gl/sCJSJ1</w:t>
        </w:r>
      </w:hyperlink>
    </w:p>
    <w:p w:rsidR="0056601F" w:rsidRPr="0056601F" w:rsidRDefault="0056601F" w:rsidP="0056601F">
      <w:pPr>
        <w:pStyle w:val="a5"/>
        <w:rPr>
          <w:rFonts w:ascii="Arial" w:hAnsi="Arial" w:cs="Arial"/>
          <w:sz w:val="21"/>
          <w:szCs w:val="21"/>
          <w:lang w:eastAsia="ru-RU"/>
        </w:rPr>
      </w:pPr>
      <w:r w:rsidRPr="0056601F">
        <w:rPr>
          <w:rFonts w:ascii="Arial" w:hAnsi="Arial" w:cs="Arial"/>
          <w:sz w:val="21"/>
          <w:szCs w:val="21"/>
          <w:lang w:eastAsia="ru-RU"/>
        </w:rPr>
        <w:lastRenderedPageBreak/>
        <w:t> </w:t>
      </w:r>
    </w:p>
    <w:p w:rsidR="00DC4794" w:rsidRDefault="00DC4794" w:rsidP="0056601F">
      <w:pPr>
        <w:pStyle w:val="a5"/>
      </w:pPr>
    </w:p>
    <w:sectPr w:rsidR="00DC4794" w:rsidSect="0056601F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691"/>
    <w:multiLevelType w:val="multilevel"/>
    <w:tmpl w:val="D3A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1F"/>
    <w:rsid w:val="0056601F"/>
    <w:rsid w:val="00D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60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601F"/>
  </w:style>
  <w:style w:type="paragraph" w:styleId="a4">
    <w:name w:val="Normal (Web)"/>
    <w:basedOn w:val="a"/>
    <w:uiPriority w:val="99"/>
    <w:semiHidden/>
    <w:unhideWhenUsed/>
    <w:rsid w:val="0056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6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60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601F"/>
  </w:style>
  <w:style w:type="paragraph" w:styleId="a4">
    <w:name w:val="Normal (Web)"/>
    <w:basedOn w:val="a"/>
    <w:uiPriority w:val="99"/>
    <w:semiHidden/>
    <w:unhideWhenUsed/>
    <w:rsid w:val="0056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6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39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340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9398">
                  <w:marLeft w:val="11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659">
                  <w:marLeft w:val="11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0447">
                  <w:marLeft w:val="11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427">
                  <w:marLeft w:val="11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96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450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958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86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453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65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69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sCJSJ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6828</Words>
  <Characters>38921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cp:lastPrinted>2017-04-14T08:54:00Z</cp:lastPrinted>
  <dcterms:created xsi:type="dcterms:W3CDTF">2017-04-14T08:53:00Z</dcterms:created>
  <dcterms:modified xsi:type="dcterms:W3CDTF">2017-04-14T08:55:00Z</dcterms:modified>
</cp:coreProperties>
</file>